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7" w:rsidRDefault="006431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167" w:rsidRDefault="00643167">
      <w:pPr>
        <w:pStyle w:val="ConsPlusNormal"/>
        <w:jc w:val="both"/>
        <w:outlineLvl w:val="0"/>
      </w:pPr>
    </w:p>
    <w:p w:rsidR="00643167" w:rsidRDefault="00643167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643167" w:rsidRDefault="00643167">
      <w:pPr>
        <w:pStyle w:val="ConsPlusTitle"/>
        <w:jc w:val="center"/>
      </w:pPr>
      <w:r>
        <w:t>ОБОРОНЫ, ЧРЕЗВЫЧАЙНЫМ СИТУАЦИЯМ И ЛИКВИДАЦИИ</w:t>
      </w:r>
    </w:p>
    <w:p w:rsidR="00643167" w:rsidRDefault="00643167">
      <w:pPr>
        <w:pStyle w:val="ConsPlusTitle"/>
        <w:jc w:val="center"/>
      </w:pPr>
      <w:r>
        <w:t>ПОСЛЕДСТВИЙ СТИХИЙНЫХ БЕДСТВИЙ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ПРИКАЗ</w:t>
      </w:r>
    </w:p>
    <w:p w:rsidR="00643167" w:rsidRDefault="00643167">
      <w:pPr>
        <w:pStyle w:val="ConsPlusTitle"/>
        <w:jc w:val="center"/>
      </w:pPr>
      <w:r>
        <w:t>от 21 февраля 2013 г. N 115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ОБ УТВЕРЖДЕНИИ СВОДА ПРАВИЛ СП 6.13130</w:t>
      </w:r>
    </w:p>
    <w:p w:rsidR="00643167" w:rsidRDefault="00643167">
      <w:pPr>
        <w:pStyle w:val="ConsPlusTitle"/>
        <w:jc w:val="center"/>
      </w:pPr>
      <w:r>
        <w:t>"СИСТЕМЫ ПРОТИВОПОЖАРНОЙ ЗАЩИТЫ. ЭЛЕКТРООБОРУДОВАНИЕ.</w:t>
      </w:r>
    </w:p>
    <w:p w:rsidR="00643167" w:rsidRDefault="00643167">
      <w:pPr>
        <w:pStyle w:val="ConsPlusTitle"/>
        <w:jc w:val="center"/>
      </w:pPr>
      <w:r>
        <w:t>ТРЕБОВАНИЯ ПОЖАРНОЙ БЕЗОПАСНОСТИ"</w:t>
      </w:r>
    </w:p>
    <w:p w:rsidR="00643167" w:rsidRDefault="00643167">
      <w:pPr>
        <w:pStyle w:val="ConsPlusNormal"/>
        <w:jc w:val="center"/>
      </w:pPr>
    </w:p>
    <w:p w:rsidR="00643167" w:rsidRDefault="006431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 (ч. I), ст. 3579; 2012, N 29, ст. 3997),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20, ст. 2435, N 51 (ч. III), ст. 6903; 2011, N 1, ст. 193, ст. 194, N 2, ст. 267, N 40, ст. 5532; 2012, N 2, ст. 243, N 6, ст. 643, N 19, ст. 2329, N 47, ст. 6455),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 и в целях обеспечения соответствия отдельных положений (требований, показателей) свода правил интересам национальной экономики, состоянию материально-технической базы и научному прогрессу приказываю: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25 февраля 2013 г. прилагаемый </w:t>
      </w:r>
      <w:hyperlink w:anchor="P23" w:history="1">
        <w:r>
          <w:rPr>
            <w:color w:val="0000FF"/>
          </w:rPr>
          <w:t>свод правил</w:t>
        </w:r>
      </w:hyperlink>
      <w:r>
        <w:t xml:space="preserve"> СП 6.13130 "Системы противопожарной защиты. Электрооборудование. Требования пожарной безопасности".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2. Признать утратившим силу с 25 февраля 2013 г. </w:t>
      </w:r>
      <w:hyperlink r:id="rId8" w:history="1">
        <w:r>
          <w:rPr>
            <w:color w:val="0000FF"/>
          </w:rPr>
          <w:t>приказ</w:t>
        </w:r>
      </w:hyperlink>
      <w:r>
        <w:t xml:space="preserve"> МЧС России от 25.03.2009 N 176 "Об утверждении свода правил СП 6.13130.2009 "Системы противопожарной защиты. Электрооборудование. Требования пожарной безопасности".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jc w:val="right"/>
      </w:pPr>
      <w:r>
        <w:t>Министр</w:t>
      </w:r>
    </w:p>
    <w:p w:rsidR="00643167" w:rsidRDefault="00643167">
      <w:pPr>
        <w:pStyle w:val="ConsPlusNormal"/>
        <w:jc w:val="right"/>
      </w:pPr>
      <w:r>
        <w:t>В.А.ПУЧКОВ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Title"/>
        <w:jc w:val="center"/>
        <w:outlineLvl w:val="0"/>
      </w:pPr>
      <w:bookmarkStart w:id="0" w:name="P23"/>
      <w:bookmarkEnd w:id="0"/>
      <w:r>
        <w:t>СВОД ПРАВИЛ</w:t>
      </w:r>
    </w:p>
    <w:p w:rsidR="00643167" w:rsidRDefault="00643167">
      <w:pPr>
        <w:pStyle w:val="ConsPlusTitle"/>
        <w:jc w:val="center"/>
      </w:pPr>
      <w:r>
        <w:t>СП 6.13130.2013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СИСТЕМЫ ПРОТИВОПОЖАРНОЙ ЗАЩИТЫ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ЭЛЕКТРООБОРУДОВАНИЕ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ТРЕБОВАНИЯ ПОЖАРНОЙ БЕЗОПАСНОСТИ</w:t>
      </w:r>
    </w:p>
    <w:p w:rsidR="00643167" w:rsidRDefault="00643167">
      <w:pPr>
        <w:pStyle w:val="ConsPlusTitle"/>
        <w:jc w:val="center"/>
      </w:pPr>
    </w:p>
    <w:p w:rsidR="00643167" w:rsidRDefault="00643167">
      <w:pPr>
        <w:pStyle w:val="ConsPlusTitle"/>
        <w:jc w:val="center"/>
      </w:pPr>
      <w:r>
        <w:t>SYSTEMS OF FIRE PROTECTION.</w:t>
      </w:r>
    </w:p>
    <w:p w:rsidR="00643167" w:rsidRDefault="00643167">
      <w:pPr>
        <w:pStyle w:val="ConsPlusTitle"/>
        <w:jc w:val="center"/>
      </w:pPr>
      <w:r>
        <w:t>ELECTRICAL EQUIPMENT. REQUIREMENTS OF FIRE SAFETY</w:t>
      </w:r>
    </w:p>
    <w:p w:rsidR="00643167" w:rsidRDefault="00643167">
      <w:pPr>
        <w:pStyle w:val="ConsPlusNormal"/>
        <w:jc w:val="center"/>
      </w:pPr>
    </w:p>
    <w:p w:rsidR="00643167" w:rsidRDefault="00643167">
      <w:pPr>
        <w:pStyle w:val="ConsPlusNormal"/>
        <w:jc w:val="right"/>
      </w:pPr>
      <w:r>
        <w:t>Дата введения - 2013-02-25</w:t>
      </w:r>
    </w:p>
    <w:p w:rsidR="00643167" w:rsidRDefault="00643167">
      <w:pPr>
        <w:pStyle w:val="ConsPlusNormal"/>
        <w:jc w:val="center"/>
      </w:pPr>
    </w:p>
    <w:p w:rsidR="00643167" w:rsidRDefault="00643167">
      <w:pPr>
        <w:pStyle w:val="ConsPlusNormal"/>
        <w:jc w:val="center"/>
        <w:outlineLvl w:val="1"/>
      </w:pPr>
      <w:r>
        <w:t>Предисловие</w:t>
      </w:r>
    </w:p>
    <w:p w:rsidR="00643167" w:rsidRDefault="00643167">
      <w:pPr>
        <w:pStyle w:val="ConsPlusNormal"/>
        <w:jc w:val="center"/>
      </w:pPr>
    </w:p>
    <w:p w:rsidR="00643167" w:rsidRDefault="00643167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разработки 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Применение настоящего свода правил обеспечивает соблюдение требований к электрооборудованию систем противопожарной защиты зданий и сооружений,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  <w:outlineLvl w:val="1"/>
      </w:pPr>
      <w:r>
        <w:t>Сведения о своде правил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  <w:r>
        <w:t>1. РАЗРАБОТАН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обороны" (ФГБУ ВНИИПО МЧС России)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2.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21 февраля 2013 года N 115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3. ЗАРЕГИСТРИРОВАН Федеральным агентством по техническому регулированию и метрологии от 17 апреля 2013 г.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4. ВЗАМЕН </w:t>
      </w:r>
      <w:hyperlink r:id="rId12" w:history="1">
        <w:r>
          <w:rPr>
            <w:color w:val="0000FF"/>
          </w:rPr>
          <w:t>СП 6.13130.2009</w:t>
        </w:r>
      </w:hyperlink>
    </w:p>
    <w:p w:rsidR="00643167" w:rsidRDefault="00643167">
      <w:pPr>
        <w:pStyle w:val="ConsPlusNormal"/>
        <w:spacing w:before="220"/>
        <w:ind w:firstLine="540"/>
        <w:jc w:val="both"/>
      </w:pPr>
      <w:r>
        <w:t>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 и уведомление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без разрешения МЧС России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  <w:r>
        <w:t>Настоящий свод правил применяется при проектировании и монтаже электрооборудования систем противопожарной защиты вновь строящихся и реконструируемых зданий и сооружений.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стандарты:</w:t>
      </w:r>
    </w:p>
    <w:p w:rsidR="00643167" w:rsidRDefault="0064316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Р 53315-2009</w:t>
        </w:r>
      </w:hyperlink>
      <w:r>
        <w:t xml:space="preserve"> Кабельные изделия. Требования пожарной безопасности</w:t>
      </w:r>
    </w:p>
    <w:p w:rsidR="00643167" w:rsidRDefault="0064316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Р 53316-2009</w:t>
        </w:r>
      </w:hyperlink>
      <w:r>
        <w:t xml:space="preserve"> Кабельные линии. Сохранение работоспособности в условиях пожара. Метод испытания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lastRenderedPageBreak/>
        <w:t>Примечание - При пользовании настоящим сводом правил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3.1. электрооборудование систем противопожарной защиты: Совокупность электротехнических устройств, предназначенных для функционирования систем противопожарной защиты.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3.2. приемник электрической энергии (электроприемник): Аппарат, агрегат и др., предназначенные для преобразования электрической энергии в другой вид энергии.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  <w:outlineLvl w:val="1"/>
      </w:pPr>
      <w:r>
        <w:t>4. Требования пожарной безопасности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  <w:r>
        <w:t>4.1. Электроприемники систем противопожарной защиты (СПЗ) должны относиться к электроприемникам I категории надежности электроснабжения, за исключением электродвигателей компрессоров, дренажных насосов, насосов подкачки пенообразователя, которые относятся к III категории надежности электроснабжения.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4.2. В зданиях, сооружениях (далее - здания), электроприемники которых относятся к III категории надежности электроснабжения, резервное питание электроприемников СПЗ должно осуществляться от независимого автономного источника питания.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4.3. Электроприемники первой категории должны обеспечиваться электроэнергией от двух независимых взаимно резервирующих источников питания. 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условий: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1) каждая из секций или систем шин в свою очередь имеет питание от независимого источника питания;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2) секции (системы) шин не связаны между собой или имеют связь, автоматически отключающуюся при нарушении нормальной работы одной из секций (систем) шин.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4.4. Кабели и провода СПЗ, прокладываемые одиночно (расстояние между кабелями или проводами более 300 мм), должны иметь показатель пожарной опасности не ниже ПРГП 4 по </w:t>
      </w:r>
      <w:hyperlink r:id="rId15" w:history="1">
        <w:r>
          <w:rPr>
            <w:color w:val="0000FF"/>
          </w:rPr>
          <w:t>ГОСТ Р 53315</w:t>
        </w:r>
      </w:hyperlink>
      <w:r>
        <w:t>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4.5. Кабели и провода СПЗ, прокладываемые при групповой прокладке (расстояние между кабелями менее 300 мм), должны иметь показатели пожарной опасности по нераспространению горения ПРГП 1, ПРГП 2, ПРГП 3 или ПРГП 4 (в зависимости от объема горючей нагрузки), и показатель дымообразования не ниже ПД 2 по </w:t>
      </w:r>
      <w:hyperlink r:id="rId16" w:history="1">
        <w:r>
          <w:rPr>
            <w:color w:val="0000FF"/>
          </w:rPr>
          <w:t>ГОСТ Р 53315</w:t>
        </w:r>
      </w:hyperlink>
      <w:r>
        <w:t>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4.6. Кабельные линии и электропроводки СПЗ, прокладываемые замоноличено, в пустотах </w:t>
      </w:r>
      <w:r>
        <w:lastRenderedPageBreak/>
        <w:t>строительных конструкций из негорючих материалов или в металлических трубах, обладающих локализационной способностью, допускается выполнять кабелями или проводами, к которым не предъявляются требования по нераспространению горения, при этом торцы каналов и труб, входящих в электрооборудование и соединительные коробки, должны быть герметично уплотнены негорючими материалами.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4.7. Электрические кабельные линии и электропроводки СПЗ должны выполняться кабелями и проводами с медными токопроводящими жилами.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4.8. Кабельные линии и электропроводка,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времени, необходимого для выполнения их функций и полной эвакуации людей в безопасную зону.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 xml:space="preserve">4.9. Работоспособность кабельных линий и электропроводок СПЗ в условиях пожара обеспечивается выбором вида исполнения кабелей и проводов, согласно </w:t>
      </w:r>
      <w:hyperlink r:id="rId17" w:history="1">
        <w:r>
          <w:rPr>
            <w:color w:val="0000FF"/>
          </w:rPr>
          <w:t>ГОСТ Р 53315</w:t>
        </w:r>
      </w:hyperlink>
      <w:r>
        <w:t xml:space="preserve">, и способом их прокладки. Время работоспособности кабельных линий и электропроводок в условиях воздействия пожара определяется в соответствии с </w:t>
      </w:r>
      <w:hyperlink r:id="rId18" w:history="1">
        <w:r>
          <w:rPr>
            <w:color w:val="0000FF"/>
          </w:rPr>
          <w:t>ГОСТ Р 53316</w:t>
        </w:r>
      </w:hyperlink>
      <w:r>
        <w:t>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4.10. Питание электроприемников СПЗ должно осуществляться от панели противопожарных устройств (панель ППУ), которая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Панели ППУ и АВР должны иметь боковые стенки для противопожарной защиты, установленной в них аппаратуры.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Толщина стенок должна устанавливаться в конструкторской документации и технических условиях на панели конкретных типов.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Фасадная часть панели ППУ должна иметь отличительную окраску (красную).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4.11. Для электроприемников автоматических установок пожаротушения I категории надежности электроснабжения, имеющих автоматически включаемый технологический резерв (при наличии одного рабочего и одного резервного насосов), устройство АВР не требуется.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4.12. Не допускается установка аппаратов защиты в цепях управления автоматическими установками пожаротушения, отключение которых может привести к отказу работы при пожаре.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4.13. Запрещается установка в цепях питания электроприемников СПЗ устройств защитного отключения или выключателей, управляемых дифференциальным (остаточным) током, в том числе со встроенной защитой от сверхтоков.</w:t>
      </w:r>
    </w:p>
    <w:p w:rsidR="00643167" w:rsidRDefault="00643167">
      <w:pPr>
        <w:pStyle w:val="ConsPlusNormal"/>
        <w:spacing w:before="220"/>
        <w:ind w:firstLine="540"/>
        <w:jc w:val="both"/>
      </w:pPr>
      <w:r>
        <w:t>4.14. Не допускается совместная прокладка кабельных линий систем противопожарной защиты с другими кабелями и проводами в одном коробе, трубе, жгуте, замкнутом канале строительной конструкции или на одном лотке.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3167" w:rsidRDefault="00643167">
      <w:pPr>
        <w:pStyle w:val="ConsPlusNonformat"/>
        <w:jc w:val="both"/>
      </w:pPr>
      <w:r>
        <w:t>УДК 614.841.33(045):006.354                   ОКС 13.220.01</w:t>
      </w:r>
    </w:p>
    <w:p w:rsidR="00643167" w:rsidRDefault="00643167">
      <w:pPr>
        <w:pStyle w:val="ConsPlusNonformat"/>
        <w:jc w:val="both"/>
      </w:pPr>
    </w:p>
    <w:p w:rsidR="00643167" w:rsidRDefault="00643167">
      <w:pPr>
        <w:pStyle w:val="ConsPlusNonformat"/>
        <w:jc w:val="both"/>
      </w:pPr>
      <w:r>
        <w:t>Ключевые слова: Кабельная линия, электроприемник,</w:t>
      </w:r>
    </w:p>
    <w:p w:rsidR="00643167" w:rsidRDefault="00643167">
      <w:pPr>
        <w:pStyle w:val="ConsPlusNonformat"/>
        <w:jc w:val="both"/>
      </w:pPr>
      <w:r>
        <w:t>электрооборудование, требования пожарной безопасности</w:t>
      </w:r>
    </w:p>
    <w:p w:rsidR="00643167" w:rsidRDefault="0064316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ind w:firstLine="540"/>
        <w:jc w:val="both"/>
      </w:pPr>
    </w:p>
    <w:p w:rsidR="00643167" w:rsidRDefault="00643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9E0" w:rsidRDefault="00643167">
      <w:bookmarkStart w:id="1" w:name="_GoBack"/>
      <w:bookmarkEnd w:id="1"/>
    </w:p>
    <w:sectPr w:rsidR="00BF39E0" w:rsidSect="00A7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7"/>
    <w:rsid w:val="00181A9B"/>
    <w:rsid w:val="00643167"/>
    <w:rsid w:val="00D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12732C2F648259E8111DCAC5B01F79FFD89001826EAEA362EA1F2D02E3E567B17FD0f746H" TargetMode="External"/><Relationship Id="rId13" Type="http://schemas.openxmlformats.org/officeDocument/2006/relationships/hyperlink" Target="consultantplus://offline/ref=FC51053F32E80D0BAC0E1B6A2B2F648255E81519C8CCED1571A6D492068D31ABB673B2102D1EFDE478AD7DD274f24AH" TargetMode="External"/><Relationship Id="rId18" Type="http://schemas.openxmlformats.org/officeDocument/2006/relationships/hyperlink" Target="consultantplus://offline/ref=FC51053F32E80D0BAC0E1B6A2B2F648255E81519C8CCED1571A6D492068D31ABB673B2102D1EFDE478AD7DD274f2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51053F32E80D0BAC0E12732C2F648258E81D1ACAC5B01F79FFD89001826EBCA33AE61D2F1CE2E472E72E9623276FB0AD3212D6BA9B54fC4AH" TargetMode="External"/><Relationship Id="rId12" Type="http://schemas.openxmlformats.org/officeDocument/2006/relationships/hyperlink" Target="consultantplus://offline/ref=FC51053F32E80D0BAC0E12732C2F648259E8111DCAC5B01F79FFD89001826EAEA362EA1F2D02E3E567B17FD0f746H" TargetMode="External"/><Relationship Id="rId17" Type="http://schemas.openxmlformats.org/officeDocument/2006/relationships/hyperlink" Target="consultantplus://offline/ref=FC51053F32E80D0BAC0E1B6A2B2F648255E81519C8CCED1571A6D492068D31ABB673B2102D1EFDE478AD7DD274f24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51053F32E80D0BAC0E1B6A2B2F648255E81519C8CCED1571A6D492068D31ABB673B2102D1EFDE478AD7DD274f24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1053F32E80D0BAC0E12732C2F648253E81011CDCAED1571A6D492068D31ABB673B2102D1EFDE478AD7DD274f24AH" TargetMode="External"/><Relationship Id="rId11" Type="http://schemas.openxmlformats.org/officeDocument/2006/relationships/hyperlink" Target="consultantplus://offline/ref=FC51053F32E80D0BAC0E12732C2F648253E81011CDCAED1571A6D492068D31ABB673B2102D1EFDE478AD7DD274f24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51053F32E80D0BAC0E1B6A2B2F648255E81519C8CCED1571A6D492068D31ABB673B2102D1EFDE478AD7DD274f24AH" TargetMode="External"/><Relationship Id="rId10" Type="http://schemas.openxmlformats.org/officeDocument/2006/relationships/hyperlink" Target="consultantplus://offline/ref=FC51053F32E80D0BAC0E12732C2F648258E81D1ACAC5B01F79FFD89001826EBCA33AE61D2F1CE2E472E72E9623276FB0AD3212D6BA9B54fC4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1053F32E80D0BAC0E12732C2F648253EB111ACFC9ED1571A6D492068D31ABA473EA1F2B1EE8B028F72ADF742873B2B22C11C8BAf94BH" TargetMode="External"/><Relationship Id="rId14" Type="http://schemas.openxmlformats.org/officeDocument/2006/relationships/hyperlink" Target="consultantplus://offline/ref=FC51053F32E80D0BAC0E0D66292F648251EA1118CAC5B01F79FFD89001826EAEA362EA1F2D02E3E567B17FD0f7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Ямсков Артем Владимирович</dc:creator>
  <cp:lastModifiedBy>Ямсков Артем Владимирович</cp:lastModifiedBy>
  <cp:revision>1</cp:revision>
  <dcterms:created xsi:type="dcterms:W3CDTF">2020-01-22T07:56:00Z</dcterms:created>
  <dcterms:modified xsi:type="dcterms:W3CDTF">2020-01-22T07:57:00Z</dcterms:modified>
</cp:coreProperties>
</file>