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КОМИССИЯ ТАМОЖЕННОГО СОЮЗА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от 16 августа 2011 г. N 770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О ПРИНЯТИИ ТЕХНИЧЕСКОГО РЕГЛАМЕНТА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ТАМОЖЕННОГО СОЮЗА "О БЕЗОПАСНОСТИ ПИРОТЕХНИЧЕСКИХ ИЗДЕЛИЙ"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AB6D5A" w:rsidRPr="00AB6D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B6D5A" w:rsidRPr="00AB6D5A" w:rsidRDefault="00AB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D5A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изменяющих документов</w:t>
            </w:r>
          </w:p>
          <w:p w:rsidR="00AB6D5A" w:rsidRPr="00AB6D5A" w:rsidRDefault="00AB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6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ред. </w:t>
            </w:r>
            <w:hyperlink r:id="rId5" w:history="1">
              <w:r w:rsidRPr="00AB6D5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решения</w:t>
              </w:r>
            </w:hyperlink>
            <w:r w:rsidRPr="00AB6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Коллегии Евразийской экономической комиссии</w:t>
            </w:r>
            <w:proofErr w:type="gramEnd"/>
          </w:p>
          <w:p w:rsidR="00AB6D5A" w:rsidRPr="00AB6D5A" w:rsidRDefault="00AB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D5A">
              <w:rPr>
                <w:rFonts w:ascii="Times New Roman" w:hAnsi="Times New Roman" w:cs="Times New Roman"/>
                <w:bCs/>
                <w:sz w:val="28"/>
                <w:szCs w:val="28"/>
              </w:rPr>
              <w:t>от 25.12.2018 N 217)</w:t>
            </w:r>
          </w:p>
        </w:tc>
      </w:tr>
    </w:tbl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статьей 13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1. Принять технический </w:t>
      </w:r>
      <w:hyperlink r:id="rId7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Таможенного союза "О безопасности пиротехнических изделий" (</w:t>
      </w:r>
      <w:proofErr w:type="gramStart"/>
      <w:r w:rsidRPr="00AB6D5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AB6D5A">
        <w:rPr>
          <w:rFonts w:ascii="Times New Roman" w:hAnsi="Times New Roman" w:cs="Times New Roman"/>
          <w:bCs/>
          <w:sz w:val="28"/>
          <w:szCs w:val="28"/>
        </w:rPr>
        <w:t xml:space="preserve"> ТС 006/2011) (прилагается).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3"/>
      <w:bookmarkEnd w:id="0"/>
      <w:r w:rsidRPr="00AB6D5A">
        <w:rPr>
          <w:rFonts w:ascii="Times New Roman" w:hAnsi="Times New Roman" w:cs="Times New Roman"/>
          <w:bCs/>
          <w:sz w:val="28"/>
          <w:szCs w:val="28"/>
        </w:rPr>
        <w:t xml:space="preserve">2. Утратил силу. - </w:t>
      </w:r>
      <w:hyperlink r:id="rId8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Коллегии Евразийской экономической комиссии от 25.12.2018 N 217.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3. Установить: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3.1. технический </w:t>
      </w:r>
      <w:hyperlink r:id="rId9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Таможенного союза "О безопасности пиротехнических изделий" (далее - Технический регламент) вступает в силу с 15 февраля 2012 года;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6"/>
      <w:bookmarkEnd w:id="1"/>
      <w:proofErr w:type="gramStart"/>
      <w:r w:rsidRPr="00AB6D5A">
        <w:rPr>
          <w:rFonts w:ascii="Times New Roman" w:hAnsi="Times New Roman" w:cs="Times New Roman"/>
          <w:bCs/>
          <w:sz w:val="28"/>
          <w:szCs w:val="28"/>
        </w:rPr>
        <w:t xml:space="preserve">3.2. документы об оценке (подтверждении) соответствия обязательным требованиям, установленным законодательством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r:id="rId10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регламента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(далее - продукция), действительны до окончания срока их действия, но не позднее 15 августа 2013 года, за исключением таких документов, выданных или принятых до дня официального опубликования настоящего Решения</w:t>
      </w:r>
      <w:proofErr w:type="gramEnd"/>
      <w:r w:rsidRPr="00AB6D5A">
        <w:rPr>
          <w:rFonts w:ascii="Times New Roman" w:hAnsi="Times New Roman" w:cs="Times New Roman"/>
          <w:bCs/>
          <w:sz w:val="28"/>
          <w:szCs w:val="28"/>
        </w:rPr>
        <w:t>, которые действительны до окончания срока их действия.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Со дня вступления в силу Технического </w:t>
      </w:r>
      <w:hyperlink r:id="rId11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регламента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выдача или принятие документов об оценке (подтверждении) соответствия обязательным требованиям, ранее установленным законодательством государств - членов Таможенного союза или нормативными правовыми актами Таможенного союза, не допускается;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D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 до 15 августа 2013 года допускается производство и выпуск в обращение продукции в соответствии с обязательными требованиями, ранее установленными законодательством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вступления в силу Технического </w:t>
      </w:r>
      <w:hyperlink r:id="rId12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регламента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3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государств - членов Таможенного союза.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16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подпункте 3.2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Решения, допускается в течение срока годности (срока службы) продукции, установленного в соответствии с </w:t>
      </w:r>
      <w:hyperlink r:id="rId14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государств - членов Таможенного союза.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r:id="rId15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регламента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B6D5A" w:rsidRPr="00AB6D5A" w:rsidRDefault="00AB6D5A" w:rsidP="00AB6D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3" w:history="1">
        <w:r w:rsidRPr="00AB6D5A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AB6D5A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D5A">
        <w:rPr>
          <w:rFonts w:ascii="Times New Roman" w:hAnsi="Times New Roman" w:cs="Times New Roman"/>
          <w:bCs/>
          <w:sz w:val="28"/>
          <w:szCs w:val="28"/>
        </w:rPr>
        <w:t>Члены Комиссии Таможенного союза:</w:t>
      </w:r>
    </w:p>
    <w:p w:rsidR="00AB6D5A" w:rsidRPr="00AB6D5A" w:rsidRDefault="00AB6D5A" w:rsidP="00AB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GoBack"/>
    </w:p>
    <w:p w:rsidR="00AB6D5A" w:rsidRPr="00AB6D5A" w:rsidRDefault="00AB6D5A" w:rsidP="00AB6D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 Республики</w:t>
      </w:r>
      <w:proofErr w:type="gramStart"/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</w:t>
      </w:r>
      <w:proofErr w:type="gramEnd"/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 Республики              От Российской</w:t>
      </w:r>
    </w:p>
    <w:p w:rsidR="00AB6D5A" w:rsidRPr="00AB6D5A" w:rsidRDefault="00AB6D5A" w:rsidP="00AB6D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Беларусь                   Казахстан                 Федерации</w:t>
      </w:r>
    </w:p>
    <w:p w:rsidR="00AB6D5A" w:rsidRPr="00AB6D5A" w:rsidRDefault="00AB6D5A" w:rsidP="00AB6D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(Печать)                   (Печать)                  (Печать)</w:t>
      </w:r>
    </w:p>
    <w:p w:rsidR="00AB6D5A" w:rsidRPr="00AB6D5A" w:rsidRDefault="00AB6D5A" w:rsidP="00AB6D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B6D5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С.РУМАС                    У.ШУКЕЕВ                  И.ШУВАЛОВ</w:t>
      </w:r>
    </w:p>
    <w:bookmarkEnd w:id="2"/>
    <w:p w:rsidR="00BF39E0" w:rsidRDefault="00AB6D5A"/>
    <w:sectPr w:rsidR="00BF39E0" w:rsidSect="008F2F8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E"/>
    <w:rsid w:val="00181A9B"/>
    <w:rsid w:val="005626AE"/>
    <w:rsid w:val="00AB6D5A"/>
    <w:rsid w:val="00D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6CB92AFE2DA906112DA9F51CBC472A4B8851EF893F5F2CA0B75402A5C0E97AB7D966E1B96BF9C747CB280F4FC320GDm1I" TargetMode="External"/><Relationship Id="rId13" Type="http://schemas.openxmlformats.org/officeDocument/2006/relationships/hyperlink" Target="consultantplus://offline/ref=B038B1C7936569C6E09A6CB92AFE2DA906122DAAF71EBC472A4B8851EF893F5F2CA0B75402A5C2EE74B7D966E1B96BF9C747CB280F4FC320GD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12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B1C7936569C6E09A6CB92AFE2DA904102FA9FF1FBC472A4B8851EF893F5F2CA0B75402A5C0EE75B7D966E1B96BF9C747CB280F4FC320GDm1I" TargetMode="External"/><Relationship Id="rId11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5" Type="http://schemas.openxmlformats.org/officeDocument/2006/relationships/hyperlink" Target="consultantplus://offline/ref=B038B1C7936569C6E09A6CB92AFE2DA906112DA9F51CBC472A4B8851EF893F5F2CA0B75402A5C0E97AB7D966E1B96BF9C747CB280F4FC320GDm1I" TargetMode="External"/><Relationship Id="rId15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10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B1C7936569C6E09A6CB92AFE2DA906112DABF411BC472A4B8851EF893F5F2CA0B75402A5C0EB70B7D966E1B96BF9C747CB280F4FC320GDm1I" TargetMode="External"/><Relationship Id="rId14" Type="http://schemas.openxmlformats.org/officeDocument/2006/relationships/hyperlink" Target="consultantplus://offline/ref=B038B1C7936569C6E09A6CB92AFE2DA9061221AAF418BC472A4B8851EF893F5F2CA0B75402A5C3EA74B7D966E1B96BF9C747CB280F4FC320GD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Ямсков Артем Владимирович</dc:creator>
  <cp:keywords/>
  <dc:description/>
  <cp:lastModifiedBy>Ямсков Артем Владимирович</cp:lastModifiedBy>
  <cp:revision>3</cp:revision>
  <dcterms:created xsi:type="dcterms:W3CDTF">2020-01-22T08:38:00Z</dcterms:created>
  <dcterms:modified xsi:type="dcterms:W3CDTF">2020-01-22T08:38:00Z</dcterms:modified>
</cp:coreProperties>
</file>